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34"/>
        </w:rPr>
        <w:t>ASSOCIATION DES HISTORIENS DE GUINÉE</w:t>
      </w:r>
    </w:p>
    <w:p>
      <w:pPr>
        <w:jc w:val="center"/>
      </w:pPr>
      <w:r>
        <w:rPr>
          <w:b/>
          <w:sz w:val="24"/>
        </w:rPr>
        <w:t>Composition de la nouvelle équipe dirigeante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120640" cy="38404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641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547"/>
            <w:vAlign w:val="center"/>
            <w:shd w:fill="1F4E79"/>
          </w:tcPr>
          <w:p>
            <w:r>
              <w:rPr>
                <w:b/>
                <w:color w:val="FFFFFF"/>
                <w:sz w:val="18"/>
              </w:rPr>
              <w:t>N°</w:t>
            </w:r>
          </w:p>
        </w:tc>
        <w:tc>
          <w:tcPr>
            <w:tcW w:type="dxa" w:w="3528"/>
            <w:vAlign w:val="center"/>
            <w:shd w:fill="1F4E79"/>
          </w:tcPr>
          <w:p>
            <w:r>
              <w:rPr>
                <w:b/>
                <w:color w:val="FFFFFF"/>
                <w:sz w:val="18"/>
              </w:rPr>
              <w:t>Fonction</w:t>
            </w:r>
          </w:p>
        </w:tc>
        <w:tc>
          <w:tcPr>
            <w:tcW w:type="dxa" w:w="3096"/>
            <w:vAlign w:val="center"/>
            <w:shd w:fill="1F4E79"/>
          </w:tcPr>
          <w:p>
            <w:r>
              <w:rPr>
                <w:b/>
                <w:color w:val="FFFFFF"/>
                <w:sz w:val="18"/>
              </w:rPr>
              <w:t>Nom et prénom</w:t>
            </w:r>
          </w:p>
        </w:tc>
        <w:tc>
          <w:tcPr>
            <w:tcW w:type="dxa" w:w="2232"/>
            <w:vAlign w:val="center"/>
            <w:shd w:fill="1F4E79"/>
          </w:tcPr>
          <w:p>
            <w:r>
              <w:rPr>
                <w:b/>
                <w:color w:val="FFFFFF"/>
                <w:sz w:val="18"/>
              </w:rPr>
              <w:t>Institution / localité</w:t>
            </w:r>
          </w:p>
        </w:tc>
      </w:tr>
      <w:tr>
        <w:tc>
          <w:tcPr>
            <w:tcW w:type="dxa" w:w="547"/>
            <w:vAlign w:val="center"/>
          </w:tcPr>
          <w:p>
            <w:pPr>
              <w:spacing w:after="20"/>
            </w:pPr>
            <w:r>
              <w:rPr>
                <w:sz w:val="17"/>
              </w:rPr>
              <w:t>1</w:t>
            </w:r>
          </w:p>
        </w:tc>
        <w:tc>
          <w:tcPr>
            <w:tcW w:type="dxa" w:w="3528"/>
            <w:vAlign w:val="center"/>
          </w:tcPr>
          <w:p>
            <w:pPr>
              <w:spacing w:after="20"/>
            </w:pPr>
            <w:r>
              <w:rPr>
                <w:sz w:val="17"/>
              </w:rPr>
              <w:t>Présidente</w:t>
            </w:r>
          </w:p>
        </w:tc>
        <w:tc>
          <w:tcPr>
            <w:tcW w:type="dxa" w:w="3096"/>
            <w:vAlign w:val="center"/>
          </w:tcPr>
          <w:p>
            <w:pPr>
              <w:spacing w:after="20"/>
            </w:pPr>
            <w:r>
              <w:rPr>
                <w:sz w:val="17"/>
              </w:rPr>
              <w:t>Dre Safiatou Diallo</w:t>
            </w:r>
          </w:p>
        </w:tc>
        <w:tc>
          <w:tcPr>
            <w:tcW w:type="dxa" w:w="2232"/>
            <w:vAlign w:val="center"/>
          </w:tcPr>
          <w:p>
            <w:pPr>
              <w:spacing w:after="20"/>
            </w:pPr>
            <w:r>
              <w:rPr>
                <w:sz w:val="17"/>
              </w:rPr>
            </w:r>
          </w:p>
        </w:tc>
      </w:tr>
      <w:tr>
        <w:tc>
          <w:tcPr>
            <w:tcW w:type="dxa" w:w="547"/>
            <w:vAlign w:val="center"/>
          </w:tcPr>
          <w:p>
            <w:pPr>
              <w:spacing w:after="20"/>
            </w:pPr>
            <w:r>
              <w:rPr>
                <w:sz w:val="17"/>
              </w:rPr>
              <w:t>2</w:t>
            </w:r>
          </w:p>
        </w:tc>
        <w:tc>
          <w:tcPr>
            <w:tcW w:type="dxa" w:w="3528"/>
            <w:vAlign w:val="center"/>
          </w:tcPr>
          <w:p>
            <w:pPr>
              <w:spacing w:after="20"/>
            </w:pPr>
            <w:r>
              <w:rPr>
                <w:sz w:val="17"/>
              </w:rPr>
              <w:t>Vice-président</w:t>
            </w:r>
          </w:p>
        </w:tc>
        <w:tc>
          <w:tcPr>
            <w:tcW w:type="dxa" w:w="3096"/>
            <w:vAlign w:val="center"/>
          </w:tcPr>
          <w:p>
            <w:pPr>
              <w:spacing w:after="20"/>
            </w:pPr>
            <w:r>
              <w:rPr>
                <w:sz w:val="17"/>
              </w:rPr>
              <w:t>Dr Fodé Bangaly Keita</w:t>
            </w:r>
          </w:p>
        </w:tc>
        <w:tc>
          <w:tcPr>
            <w:tcW w:type="dxa" w:w="2232"/>
            <w:vAlign w:val="center"/>
          </w:tcPr>
          <w:p>
            <w:pPr>
              <w:spacing w:after="20"/>
            </w:pPr>
            <w:r>
              <w:rPr>
                <w:sz w:val="17"/>
              </w:rPr>
              <w:t>Université de Kindia</w:t>
            </w:r>
          </w:p>
        </w:tc>
      </w:tr>
      <w:tr>
        <w:tc>
          <w:tcPr>
            <w:tcW w:type="dxa" w:w="547"/>
            <w:vAlign w:val="center"/>
          </w:tcPr>
          <w:p>
            <w:pPr>
              <w:spacing w:after="20"/>
            </w:pPr>
            <w:r>
              <w:rPr>
                <w:sz w:val="17"/>
              </w:rPr>
              <w:t>3</w:t>
            </w:r>
          </w:p>
        </w:tc>
        <w:tc>
          <w:tcPr>
            <w:tcW w:type="dxa" w:w="3528"/>
            <w:vAlign w:val="center"/>
          </w:tcPr>
          <w:p>
            <w:pPr>
              <w:spacing w:after="20"/>
            </w:pPr>
            <w:r>
              <w:rPr>
                <w:sz w:val="17"/>
              </w:rPr>
              <w:t>Secrétaire général</w:t>
            </w:r>
          </w:p>
        </w:tc>
        <w:tc>
          <w:tcPr>
            <w:tcW w:type="dxa" w:w="3096"/>
            <w:vAlign w:val="center"/>
          </w:tcPr>
          <w:p>
            <w:pPr>
              <w:spacing w:after="20"/>
            </w:pPr>
            <w:r>
              <w:rPr>
                <w:sz w:val="17"/>
              </w:rPr>
              <w:t>Dr Ibrahima Kaba</w:t>
            </w:r>
          </w:p>
        </w:tc>
        <w:tc>
          <w:tcPr>
            <w:tcW w:type="dxa" w:w="2232"/>
            <w:vAlign w:val="center"/>
          </w:tcPr>
          <w:p>
            <w:pPr>
              <w:spacing w:after="20"/>
            </w:pPr>
            <w:r>
              <w:rPr>
                <w:sz w:val="17"/>
              </w:rPr>
              <w:t>Université de Kankan</w:t>
            </w:r>
          </w:p>
        </w:tc>
      </w:tr>
      <w:tr>
        <w:tc>
          <w:tcPr>
            <w:tcW w:type="dxa" w:w="547"/>
            <w:vAlign w:val="center"/>
          </w:tcPr>
          <w:p>
            <w:pPr>
              <w:spacing w:after="20"/>
            </w:pPr>
            <w:r>
              <w:rPr>
                <w:sz w:val="17"/>
              </w:rPr>
              <w:t>4</w:t>
            </w:r>
          </w:p>
        </w:tc>
        <w:tc>
          <w:tcPr>
            <w:tcW w:type="dxa" w:w="3528"/>
            <w:vAlign w:val="center"/>
          </w:tcPr>
          <w:p>
            <w:pPr>
              <w:spacing w:after="20"/>
            </w:pPr>
            <w:r>
              <w:rPr>
                <w:sz w:val="17"/>
              </w:rPr>
              <w:t>Point focal</w:t>
            </w:r>
          </w:p>
        </w:tc>
        <w:tc>
          <w:tcPr>
            <w:tcW w:type="dxa" w:w="3096"/>
            <w:vAlign w:val="center"/>
          </w:tcPr>
          <w:p>
            <w:pPr>
              <w:spacing w:after="20"/>
            </w:pPr>
            <w:r>
              <w:rPr>
                <w:sz w:val="17"/>
              </w:rPr>
              <w:t>Dr Mamadi Bamba</w:t>
            </w:r>
          </w:p>
        </w:tc>
        <w:tc>
          <w:tcPr>
            <w:tcW w:type="dxa" w:w="2232"/>
            <w:vAlign w:val="center"/>
          </w:tcPr>
          <w:p>
            <w:pPr>
              <w:spacing w:after="20"/>
            </w:pPr>
            <w:r>
              <w:rPr>
                <w:sz w:val="17"/>
              </w:rPr>
              <w:t>Université de Sonfonia</w:t>
            </w:r>
          </w:p>
        </w:tc>
      </w:tr>
      <w:tr>
        <w:tc>
          <w:tcPr>
            <w:tcW w:type="dxa" w:w="547"/>
            <w:vAlign w:val="center"/>
          </w:tcPr>
          <w:p>
            <w:pPr>
              <w:spacing w:after="20"/>
            </w:pPr>
            <w:r>
              <w:rPr>
                <w:sz w:val="17"/>
              </w:rPr>
              <w:t>5</w:t>
            </w:r>
          </w:p>
        </w:tc>
        <w:tc>
          <w:tcPr>
            <w:tcW w:type="dxa" w:w="3528"/>
            <w:vAlign w:val="center"/>
          </w:tcPr>
          <w:p>
            <w:pPr>
              <w:spacing w:after="20"/>
            </w:pPr>
            <w:r>
              <w:rPr>
                <w:sz w:val="17"/>
              </w:rPr>
              <w:t>Point focal</w:t>
            </w:r>
          </w:p>
        </w:tc>
        <w:tc>
          <w:tcPr>
            <w:tcW w:type="dxa" w:w="3096"/>
            <w:vAlign w:val="center"/>
          </w:tcPr>
          <w:p>
            <w:pPr>
              <w:spacing w:after="20"/>
            </w:pPr>
            <w:r>
              <w:rPr>
                <w:sz w:val="17"/>
              </w:rPr>
              <w:t>Dr Lamine Mansaré</w:t>
            </w:r>
          </w:p>
        </w:tc>
        <w:tc>
          <w:tcPr>
            <w:tcW w:type="dxa" w:w="2232"/>
            <w:vAlign w:val="center"/>
          </w:tcPr>
          <w:p>
            <w:pPr>
              <w:spacing w:after="20"/>
            </w:pPr>
            <w:r>
              <w:rPr>
                <w:sz w:val="17"/>
              </w:rPr>
              <w:t>Université de Kindia</w:t>
            </w:r>
          </w:p>
        </w:tc>
      </w:tr>
      <w:tr>
        <w:tc>
          <w:tcPr>
            <w:tcW w:type="dxa" w:w="547"/>
            <w:vAlign w:val="center"/>
          </w:tcPr>
          <w:p>
            <w:pPr>
              <w:spacing w:after="20"/>
            </w:pPr>
            <w:r>
              <w:rPr>
                <w:sz w:val="17"/>
              </w:rPr>
              <w:t>6</w:t>
            </w:r>
          </w:p>
        </w:tc>
        <w:tc>
          <w:tcPr>
            <w:tcW w:type="dxa" w:w="3528"/>
            <w:vAlign w:val="center"/>
          </w:tcPr>
          <w:p>
            <w:pPr>
              <w:spacing w:after="20"/>
            </w:pPr>
            <w:r>
              <w:rPr>
                <w:sz w:val="17"/>
              </w:rPr>
              <w:t>Point focal</w:t>
            </w:r>
          </w:p>
        </w:tc>
        <w:tc>
          <w:tcPr>
            <w:tcW w:type="dxa" w:w="3096"/>
            <w:vAlign w:val="center"/>
          </w:tcPr>
          <w:p>
            <w:pPr>
              <w:spacing w:after="20"/>
            </w:pPr>
            <w:r>
              <w:rPr>
                <w:sz w:val="17"/>
              </w:rPr>
              <w:t>Dr Mohamed Sako</w:t>
            </w:r>
          </w:p>
        </w:tc>
        <w:tc>
          <w:tcPr>
            <w:tcW w:type="dxa" w:w="2232"/>
            <w:vAlign w:val="center"/>
          </w:tcPr>
          <w:p>
            <w:pPr>
              <w:spacing w:after="20"/>
            </w:pPr>
            <w:r>
              <w:rPr>
                <w:sz w:val="17"/>
              </w:rPr>
              <w:t>Kankan</w:t>
            </w:r>
          </w:p>
        </w:tc>
      </w:tr>
      <w:tr>
        <w:tc>
          <w:tcPr>
            <w:tcW w:type="dxa" w:w="547"/>
            <w:vAlign w:val="center"/>
          </w:tcPr>
          <w:p>
            <w:pPr>
              <w:spacing w:after="20"/>
            </w:pPr>
            <w:r>
              <w:rPr>
                <w:sz w:val="17"/>
              </w:rPr>
              <w:t>7</w:t>
            </w:r>
          </w:p>
        </w:tc>
        <w:tc>
          <w:tcPr>
            <w:tcW w:type="dxa" w:w="3528"/>
            <w:vAlign w:val="center"/>
          </w:tcPr>
          <w:p>
            <w:pPr>
              <w:spacing w:after="20"/>
            </w:pPr>
            <w:r>
              <w:rPr>
                <w:sz w:val="17"/>
              </w:rPr>
              <w:t>Responsable des publications et des revues</w:t>
            </w:r>
          </w:p>
        </w:tc>
        <w:tc>
          <w:tcPr>
            <w:tcW w:type="dxa" w:w="3096"/>
            <w:vAlign w:val="center"/>
          </w:tcPr>
          <w:p>
            <w:pPr>
              <w:spacing w:after="20"/>
            </w:pPr>
            <w:r>
              <w:rPr>
                <w:sz w:val="17"/>
              </w:rPr>
              <w:t>Pr Mamadou Dindé Diallo</w:t>
            </w:r>
          </w:p>
        </w:tc>
        <w:tc>
          <w:tcPr>
            <w:tcW w:type="dxa" w:w="2232"/>
            <w:vAlign w:val="center"/>
          </w:tcPr>
          <w:p>
            <w:pPr>
              <w:spacing w:after="20"/>
            </w:pPr>
            <w:r>
              <w:rPr>
                <w:sz w:val="17"/>
              </w:rPr>
              <w:t>Université de Kankan</w:t>
            </w:r>
          </w:p>
        </w:tc>
      </w:tr>
      <w:tr>
        <w:tc>
          <w:tcPr>
            <w:tcW w:type="dxa" w:w="547"/>
            <w:vAlign w:val="center"/>
          </w:tcPr>
          <w:p>
            <w:pPr>
              <w:spacing w:after="20"/>
            </w:pPr>
            <w:r>
              <w:rPr>
                <w:sz w:val="17"/>
              </w:rPr>
              <w:t>8</w:t>
            </w:r>
          </w:p>
        </w:tc>
        <w:tc>
          <w:tcPr>
            <w:tcW w:type="dxa" w:w="3528"/>
            <w:vAlign w:val="center"/>
          </w:tcPr>
          <w:p>
            <w:pPr>
              <w:spacing w:after="20"/>
            </w:pPr>
            <w:r>
              <w:rPr>
                <w:sz w:val="17"/>
              </w:rPr>
              <w:t>Adjoint aux publications et aux revues</w:t>
            </w:r>
          </w:p>
        </w:tc>
        <w:tc>
          <w:tcPr>
            <w:tcW w:type="dxa" w:w="3096"/>
            <w:vAlign w:val="center"/>
          </w:tcPr>
          <w:p>
            <w:pPr>
              <w:spacing w:after="20"/>
            </w:pPr>
            <w:r>
              <w:rPr>
                <w:sz w:val="17"/>
              </w:rPr>
              <w:t>M. Balla Moussa Keita</w:t>
            </w:r>
          </w:p>
        </w:tc>
        <w:tc>
          <w:tcPr>
            <w:tcW w:type="dxa" w:w="2232"/>
            <w:vAlign w:val="center"/>
          </w:tcPr>
          <w:p>
            <w:pPr>
              <w:spacing w:after="20"/>
            </w:pPr>
            <w:r>
              <w:rPr>
                <w:sz w:val="17"/>
              </w:rPr>
              <w:t>Université de Sonfonia</w:t>
            </w:r>
          </w:p>
        </w:tc>
      </w:tr>
      <w:tr>
        <w:tc>
          <w:tcPr>
            <w:tcW w:type="dxa" w:w="547"/>
            <w:vAlign w:val="center"/>
          </w:tcPr>
          <w:p>
            <w:pPr>
              <w:spacing w:after="20"/>
            </w:pPr>
            <w:r>
              <w:rPr>
                <w:sz w:val="17"/>
              </w:rPr>
              <w:t>9</w:t>
            </w:r>
          </w:p>
        </w:tc>
        <w:tc>
          <w:tcPr>
            <w:tcW w:type="dxa" w:w="3528"/>
            <w:vAlign w:val="center"/>
          </w:tcPr>
          <w:p>
            <w:pPr>
              <w:spacing w:after="20"/>
            </w:pPr>
            <w:r>
              <w:rPr>
                <w:sz w:val="17"/>
              </w:rPr>
              <w:t>Responsable des manifestations scientifiques et culturelles</w:t>
            </w:r>
          </w:p>
        </w:tc>
        <w:tc>
          <w:tcPr>
            <w:tcW w:type="dxa" w:w="3096"/>
            <w:vAlign w:val="center"/>
          </w:tcPr>
          <w:p>
            <w:pPr>
              <w:spacing w:after="20"/>
            </w:pPr>
            <w:r>
              <w:rPr>
                <w:sz w:val="17"/>
              </w:rPr>
              <w:t>Dr Faya Moïse Sandouno</w:t>
            </w:r>
          </w:p>
        </w:tc>
        <w:tc>
          <w:tcPr>
            <w:tcW w:type="dxa" w:w="2232"/>
            <w:vAlign w:val="center"/>
          </w:tcPr>
          <w:p>
            <w:pPr>
              <w:spacing w:after="20"/>
            </w:pPr>
            <w:r>
              <w:rPr>
                <w:sz w:val="17"/>
              </w:rPr>
              <w:t>Université de Sonfonia</w:t>
            </w:r>
          </w:p>
        </w:tc>
      </w:tr>
      <w:tr>
        <w:tc>
          <w:tcPr>
            <w:tcW w:type="dxa" w:w="547"/>
            <w:vAlign w:val="center"/>
          </w:tcPr>
          <w:p>
            <w:pPr>
              <w:spacing w:after="20"/>
            </w:pPr>
            <w:r>
              <w:rPr>
                <w:sz w:val="17"/>
              </w:rPr>
              <w:t>10</w:t>
            </w:r>
          </w:p>
        </w:tc>
        <w:tc>
          <w:tcPr>
            <w:tcW w:type="dxa" w:w="3528"/>
            <w:vAlign w:val="center"/>
          </w:tcPr>
          <w:p>
            <w:pPr>
              <w:spacing w:after="20"/>
            </w:pPr>
            <w:r>
              <w:rPr>
                <w:sz w:val="17"/>
              </w:rPr>
              <w:t>Assistant aux manifestations scientifiques et culturelles</w:t>
            </w:r>
          </w:p>
        </w:tc>
        <w:tc>
          <w:tcPr>
            <w:tcW w:type="dxa" w:w="3096"/>
            <w:vAlign w:val="center"/>
          </w:tcPr>
          <w:p>
            <w:pPr>
              <w:spacing w:after="20"/>
            </w:pPr>
            <w:r>
              <w:rPr>
                <w:sz w:val="17"/>
              </w:rPr>
              <w:t>Thierno Hamidou Diallo</w:t>
            </w:r>
          </w:p>
        </w:tc>
        <w:tc>
          <w:tcPr>
            <w:tcW w:type="dxa" w:w="2232"/>
            <w:vAlign w:val="center"/>
          </w:tcPr>
          <w:p>
            <w:pPr>
              <w:spacing w:after="20"/>
            </w:pPr>
            <w:r>
              <w:rPr>
                <w:sz w:val="17"/>
              </w:rPr>
            </w:r>
          </w:p>
        </w:tc>
      </w:tr>
      <w:tr>
        <w:tc>
          <w:tcPr>
            <w:tcW w:type="dxa" w:w="547"/>
            <w:vAlign w:val="center"/>
          </w:tcPr>
          <w:p>
            <w:pPr>
              <w:spacing w:after="20"/>
            </w:pPr>
            <w:r>
              <w:rPr>
                <w:sz w:val="17"/>
              </w:rPr>
              <w:t>11</w:t>
            </w:r>
          </w:p>
        </w:tc>
        <w:tc>
          <w:tcPr>
            <w:tcW w:type="dxa" w:w="3528"/>
            <w:vAlign w:val="center"/>
          </w:tcPr>
          <w:p>
            <w:pPr>
              <w:spacing w:after="20"/>
            </w:pPr>
            <w:r>
              <w:rPr>
                <w:sz w:val="17"/>
              </w:rPr>
              <w:t>Responsable de l’information et de la communication</w:t>
            </w:r>
          </w:p>
        </w:tc>
        <w:tc>
          <w:tcPr>
            <w:tcW w:type="dxa" w:w="3096"/>
            <w:vAlign w:val="center"/>
          </w:tcPr>
          <w:p>
            <w:pPr>
              <w:spacing w:after="20"/>
            </w:pPr>
            <w:r>
              <w:rPr>
                <w:sz w:val="17"/>
              </w:rPr>
              <w:t>M. Bakilé Doré</w:t>
            </w:r>
          </w:p>
        </w:tc>
        <w:tc>
          <w:tcPr>
            <w:tcW w:type="dxa" w:w="2232"/>
            <w:vAlign w:val="center"/>
          </w:tcPr>
          <w:p>
            <w:pPr>
              <w:spacing w:after="20"/>
            </w:pPr>
            <w:r>
              <w:rPr>
                <w:sz w:val="17"/>
              </w:rPr>
              <w:t>Université de Kindia</w:t>
            </w:r>
          </w:p>
        </w:tc>
      </w:tr>
      <w:tr>
        <w:tc>
          <w:tcPr>
            <w:tcW w:type="dxa" w:w="547"/>
            <w:vAlign w:val="center"/>
          </w:tcPr>
          <w:p>
            <w:pPr>
              <w:spacing w:after="20"/>
            </w:pPr>
            <w:r>
              <w:rPr>
                <w:sz w:val="17"/>
              </w:rPr>
              <w:t>12</w:t>
            </w:r>
          </w:p>
        </w:tc>
        <w:tc>
          <w:tcPr>
            <w:tcW w:type="dxa" w:w="3528"/>
            <w:vAlign w:val="center"/>
          </w:tcPr>
          <w:p>
            <w:pPr>
              <w:spacing w:after="20"/>
            </w:pPr>
            <w:r>
              <w:rPr>
                <w:sz w:val="17"/>
              </w:rPr>
              <w:t>Trésorière</w:t>
            </w:r>
          </w:p>
        </w:tc>
        <w:tc>
          <w:tcPr>
            <w:tcW w:type="dxa" w:w="3096"/>
            <w:vAlign w:val="center"/>
          </w:tcPr>
          <w:p>
            <w:pPr>
              <w:spacing w:after="20"/>
            </w:pPr>
            <w:r>
              <w:rPr>
                <w:sz w:val="17"/>
              </w:rPr>
              <w:t>Dre Fatoumata Bamba</w:t>
            </w:r>
          </w:p>
        </w:tc>
        <w:tc>
          <w:tcPr>
            <w:tcW w:type="dxa" w:w="2232"/>
            <w:vAlign w:val="center"/>
          </w:tcPr>
          <w:p>
            <w:pPr>
              <w:spacing w:after="20"/>
            </w:pPr>
            <w:r>
              <w:rPr>
                <w:sz w:val="17"/>
              </w:rPr>
              <w:t>Université de Kankan</w:t>
            </w:r>
          </w:p>
        </w:tc>
      </w:tr>
    </w:tbl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